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color="auto" w:val="single"/>
        </w:rPr>
        <w:t>CARRERA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Profesorado de Educación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Secundaría en </w:t>
      </w:r>
      <w:r>
        <w:rPr>
          <w:rFonts w:ascii="Arial" w:hAnsi="Arial" w:cs="Arial"/>
          <w:b/>
          <w:bCs/>
          <w:sz w:val="24"/>
          <w:szCs w:val="24"/>
        </w:rPr>
        <w:t>Historia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  <w:u w:color="auto" w:val="single"/>
        </w:rPr>
      </w:pPr>
      <w:r>
        <w:rPr>
          <w:rFonts w:ascii="Arial" w:hAnsi="Arial" w:cs="Arial"/>
          <w:sz w:val="24"/>
          <w:szCs w:val="24"/>
          <w:u w:color="auto" w:val="single"/>
        </w:rPr>
        <w:t xml:space="preserve">CURSO  Y COMISIÓN </w:t>
      </w:r>
      <w:r>
        <w:rPr>
          <w:rFonts w:ascii="Arial" w:hAnsi="Arial" w:cs="Arial"/>
          <w:sz w:val="24"/>
          <w:szCs w:val="24"/>
        </w:rPr>
        <w:t xml:space="preserve">: 1ro A </w:t>
      </w:r>
      <w:r>
        <w:rPr>
          <w:rFonts w:ascii="Arial" w:hAnsi="Arial" w:cs="Arial"/>
          <w:sz w:val="24"/>
          <w:szCs w:val="24"/>
          <w:u w:color="auto" w:val="single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color="auto" w:val="single"/>
        </w:rPr>
        <w:t>PERSPECTIVA/ESPACIO CURRICULAR/MATERIA</w:t>
      </w:r>
      <w:r>
        <w:rPr>
          <w:rFonts w:ascii="Arial" w:hAnsi="Arial" w:cs="Arial"/>
          <w:sz w:val="24"/>
          <w:szCs w:val="24"/>
        </w:rPr>
        <w:t>: Perspectiva Pedagógico Didáctica II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color="auto" w:val="single"/>
        </w:rPr>
        <w:t xml:space="preserve">DOCENTE: </w:t>
      </w:r>
      <w:r>
        <w:rPr>
          <w:rFonts w:ascii="Arial" w:hAnsi="Arial" w:cs="Arial"/>
          <w:sz w:val="24"/>
          <w:szCs w:val="24"/>
        </w:rPr>
        <w:t>OLIVERA Marcelo Javier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HORAS DE CLASES SEMANALES :  2 (dos)</w:t>
      </w:r>
    </w:p>
    <w:p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color="auto" w:val="single"/>
        </w:rPr>
      </w:pPr>
      <w:r>
        <w:rPr>
          <w:rFonts w:ascii="Arial" w:hAnsi="Arial" w:cs="Arial"/>
          <w:b/>
          <w:bCs/>
          <w:sz w:val="24"/>
          <w:szCs w:val="24"/>
          <w:u w:color="auto" w:val="single"/>
        </w:rPr>
        <w:t>EXPECTATIVAS DE LOGRO:</w:t>
      </w:r>
      <w:r/>
      <w:bookmarkStart w:id="0" w:name="_GoBack"/>
      <w:r/>
      <w:bookmarkEnd w:id="0"/>
      <w:r/>
      <w:r>
        <w:rPr>
          <w:rFonts w:ascii="Arial" w:hAnsi="Arial" w:cs="Arial"/>
          <w:b/>
          <w:bCs/>
          <w:sz w:val="24"/>
          <w:szCs w:val="24"/>
          <w:u w:color="auto" w:val="single"/>
        </w:rPr>
        <w:t xml:space="preserve"> </w:t>
      </w: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color="auto" w:val="single"/>
        </w:rPr>
      </w:pPr>
      <w:r>
        <w:rPr>
          <w:rFonts w:ascii="Arial" w:hAnsi="Arial" w:cs="Arial"/>
          <w:b/>
          <w:bCs/>
          <w:sz w:val="24"/>
          <w:szCs w:val="24"/>
          <w:u w:color="auto" w:val="single"/>
        </w:rPr>
      </w:r>
    </w:p>
    <w:p>
      <w:pPr>
        <w:numPr>
          <w:ilvl w:val="0"/>
          <w:numId w:val="33"/>
        </w:numPr>
        <w:ind w:left="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Desarrollo de actitud reflexiva y de apertura intelectual frente a diferentes posturas analizadas.</w:t>
      </w:r>
    </w:p>
    <w:p>
      <w:pPr>
        <w:numPr>
          <w:ilvl w:val="0"/>
          <w:numId w:val="33"/>
        </w:numPr>
        <w:ind w:left="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Identificación de los niveles de concreción curricular y de las variables intervinientes en el proceso de construcción del Currículum.</w:t>
      </w:r>
    </w:p>
    <w:p>
      <w:pPr>
        <w:numPr>
          <w:ilvl w:val="0"/>
          <w:numId w:val="33"/>
        </w:numPr>
        <w:ind w:left="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Interpretación de los Proyectos Institucionales como formas de organizar el conocimiento escolar.</w:t>
      </w:r>
    </w:p>
    <w:p>
      <w:pPr>
        <w:numPr>
          <w:ilvl w:val="0"/>
          <w:numId w:val="33"/>
        </w:numPr>
        <w:ind w:left="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Construcción de Proyectos, contemplando la dialéctica entre teoría y práctica.</w:t>
      </w:r>
    </w:p>
    <w:p>
      <w:pPr>
        <w:numPr>
          <w:ilvl w:val="0"/>
          <w:numId w:val="33"/>
        </w:numPr>
        <w:ind w:left="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Valoración de  los conocimientos didácticos para abordar diferentes problemáticas de enseñanza y de aprendizaje.</w:t>
      </w:r>
    </w:p>
    <w:p>
      <w:pPr>
        <w:numPr>
          <w:ilvl w:val="0"/>
          <w:numId w:val="33"/>
        </w:numPr>
        <w:ind w:left="0" w:hanging="360"/>
        <w:spacing w:after="20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Concebir a la educación como derecho y responsabilidad del Estado y como herramienta de inclusión social.</w:t>
      </w:r>
    </w:p>
    <w:p>
      <w:pPr>
        <w:numPr>
          <w:ilvl w:val="0"/>
          <w:numId w:val="33"/>
        </w:numPr>
        <w:ind w:left="0" w:hanging="360"/>
        <w:spacing w:after="20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Reconocer el rol político que implica la educación desde la elección de lo que se enseña y cómo se enseña,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color="auto" w:val="single"/>
        </w:rPr>
        <w:t>CONTENIDOS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</w:r>
    </w:p>
    <w:p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UNIDAD 1: La Didáctica en las Ciencias Sociales</w:t>
      </w:r>
    </w:p>
    <w:p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enseñanza como sistema. Didáctica y esolarización. Métodos y estrtegias de enseñanzas. La didáctica en las Ciencias Sociales. Qué es la Historia: objetivos, causalidades, teorías,  el sujeto histórico, las diferentes corrientes historiográficas. Cómo se enseña la historia en aulas con estudiantes del siglo XXI. Cambios y continuidades: Reproducción de conductas y sistemas de enseñanza del siglo XIX ante estudiantes del siglo XXI.</w:t>
      </w:r>
    </w:p>
    <w:p>
      <w:pPr>
        <w:spacing w:after="0" w:line="240" w:lineRule="auto"/>
        <w:jc w:val="both"/>
        <w:rPr>
          <w:rFonts w:ascii="Arial" w:hAnsi="Arial" w:eastAsia="Times New Roman" w:cs="Arial"/>
          <w:iCs/>
          <w:color w:val="000000"/>
          <w:lang w:eastAsia="es-ar"/>
        </w:rPr>
      </w:pPr>
      <w:r>
        <w:rPr>
          <w:rFonts w:ascii="Arial" w:hAnsi="Arial" w:eastAsia="Times New Roman" w:cs="Arial"/>
          <w:iCs/>
          <w:color w:val="000000"/>
          <w:lang w:eastAsia="es-ar"/>
        </w:rPr>
      </w:r>
    </w:p>
    <w:p>
      <w:pPr>
        <w:spacing w:after="0" w:line="240" w:lineRule="auto"/>
        <w:jc w:val="both"/>
        <w:rPr>
          <w:rFonts w:ascii="Arial" w:hAnsi="Arial" w:eastAsia="Times New Roman" w:cs="Arial"/>
          <w:b/>
          <w:iCs/>
          <w:color w:val="000000"/>
          <w:lang w:eastAsia="es-ar"/>
        </w:rPr>
      </w:pPr>
      <w:r>
        <w:rPr>
          <w:rFonts w:ascii="Arial" w:hAnsi="Arial" w:eastAsia="Times New Roman" w:cs="Arial"/>
          <w:b/>
          <w:iCs/>
          <w:color w:val="000000"/>
          <w:lang w:eastAsia="es-ar"/>
        </w:rPr>
        <w:t>Bibliografía Obligatoria:</w:t>
      </w:r>
    </w:p>
    <w:p>
      <w:pPr>
        <w:spacing w:after="0" w:line="240" w:lineRule="auto"/>
        <w:jc w:val="both"/>
        <w:rPr>
          <w:rFonts w:ascii="Arial" w:hAnsi="Arial" w:eastAsia="Times New Roman" w:cs="Arial"/>
          <w:b/>
          <w:iCs/>
          <w:color w:val="000000"/>
          <w:lang w:eastAsia="es-ar"/>
        </w:rPr>
      </w:pPr>
      <w:r>
        <w:rPr>
          <w:rFonts w:ascii="Arial" w:hAnsi="Arial" w:eastAsia="Times New Roman" w:cs="Arial"/>
          <w:b/>
          <w:iCs/>
          <w:color w:val="000000"/>
          <w:lang w:eastAsia="es-ar"/>
        </w:rPr>
      </w:r>
    </w:p>
    <w:p>
      <w:pPr>
        <w:pStyle w:val="para5"/>
        <w:numPr>
          <w:ilvl w:val="0"/>
          <w:numId w:val="28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Camilloni Alicia – Didáctica de las Ciencias Sociales, Cap. 1. Editorial Paidós, 1994.</w:t>
      </w:r>
    </w:p>
    <w:p>
      <w:pPr>
        <w:pStyle w:val="para5"/>
        <w:numPr>
          <w:ilvl w:val="0"/>
          <w:numId w:val="28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Gojman – Didáctica de las Ciencias Sociales, Cap. 2. Editorial Paidós, 1994.</w:t>
      </w:r>
    </w:p>
    <w:p>
      <w:pPr>
        <w:pStyle w:val="para5"/>
        <w:numPr>
          <w:ilvl w:val="0"/>
          <w:numId w:val="32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Barral María Elena, Wiurnos Natalia y Grande Patricio - ¿Qué historia cuentan los actos escolares? La educación en debate Nro.53. Editorial Universidad Pedagógica Nacional, 2017.</w:t>
      </w:r>
    </w:p>
    <w:p>
      <w:pPr>
        <w:pStyle w:val="para5"/>
        <w:numPr>
          <w:ilvl w:val="0"/>
          <w:numId w:val="32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Feldman, Daniel. Didáctica General. Capítulo 1. Ministerio de Educación de la Nación, Buenos Aires, 2010.</w:t>
      </w:r>
    </w:p>
    <w:p>
      <w:pPr>
        <w:pStyle w:val="para5"/>
        <w:numPr>
          <w:ilvl w:val="0"/>
          <w:numId w:val="28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 xml:space="preserve">Davini María Cristina – </w:t>
      </w:r>
      <w:r>
        <w:rPr>
          <w:rFonts w:ascii="Arial" w:hAnsi="Arial" w:eastAsia="Arial" w:cs="Arial"/>
          <w:i/>
          <w:lang w:val="es-es"/>
        </w:rPr>
        <w:t>Métodos de la Enseñanza</w:t>
      </w:r>
      <w:r>
        <w:rPr>
          <w:rFonts w:ascii="Arial" w:hAnsi="Arial" w:eastAsia="Arial" w:cs="Arial"/>
          <w:lang w:val="es-es"/>
        </w:rPr>
        <w:t>, Cap. 3, Editorial Santillana, 2008</w:t>
      </w:r>
    </w:p>
    <w:p>
      <w:pPr>
        <w:pStyle w:val="para5"/>
        <w:numPr>
          <w:ilvl w:val="0"/>
          <w:numId w:val="28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Siede Isabelino – Ciencias Sociales en la escuela: sentidos de la enseñanza, Cap.1. Editorial Aique, 2021.</w:t>
      </w:r>
    </w:p>
    <w:p>
      <w:pPr>
        <w:pStyle w:val="para5"/>
        <w:ind w:left="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</w:r>
    </w:p>
    <w:p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000000"/>
          <w:lang w:eastAsia="es-ar"/>
        </w:rPr>
      </w:pPr>
      <w:r>
        <w:rPr>
          <w:rFonts w:ascii="Arial" w:hAnsi="Arial" w:eastAsia="Times New Roman" w:cs="Arial"/>
          <w:b/>
          <w:bCs/>
          <w:color w:val="000000"/>
          <w:lang w:eastAsia="es-ar"/>
        </w:rPr>
        <w:t>Unidad 2: Diseño Curricular y planificación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lang w:eastAsia="es-ar"/>
        </w:rPr>
      </w:pPr>
      <w:r>
        <w:rPr>
          <w:rFonts w:ascii="Arial" w:hAnsi="Arial" w:eastAsia="Times New Roman" w:cs="Arial"/>
          <w:color w:val="000000"/>
          <w:lang w:eastAsia="es-ar"/>
        </w:rPr>
        <w:t>La planificación didáctica. Definición. Estado actual. Planificación y enseñanza. Objetivos. Contenidos. Materiales. Evaluación. Revisión de los diseños escolares. Las estrategias didácticas. Clasificación de estrategias. Evaluación. Evaluación de los aprendizajes.</w:t>
      </w:r>
    </w:p>
    <w:p>
      <w:pPr>
        <w:spacing w:after="0" w:line="240" w:lineRule="auto"/>
        <w:jc w:val="both"/>
        <w:rPr>
          <w:rFonts w:ascii="Arial" w:hAnsi="Arial" w:eastAsia="Times New Roman" w:cs="Arial"/>
          <w:b/>
          <w:iCs/>
          <w:color w:val="000000"/>
          <w:lang w:eastAsia="es-ar"/>
        </w:rPr>
      </w:pPr>
      <w:r>
        <w:rPr>
          <w:rFonts w:ascii="Arial" w:hAnsi="Arial" w:eastAsia="Times New Roman" w:cs="Arial"/>
          <w:b/>
          <w:iCs/>
          <w:color w:val="000000"/>
          <w:lang w:eastAsia="es-ar"/>
        </w:rPr>
      </w:r>
    </w:p>
    <w:p>
      <w:pPr>
        <w:spacing w:after="0" w:line="240" w:lineRule="auto"/>
        <w:jc w:val="both"/>
        <w:rPr>
          <w:rFonts w:ascii="Arial" w:hAnsi="Arial" w:eastAsia="Times New Roman" w:cs="Arial"/>
          <w:b/>
          <w:iCs/>
          <w:color w:val="000000"/>
          <w:lang w:eastAsia="es-ar"/>
        </w:rPr>
      </w:pPr>
      <w:r>
        <w:rPr>
          <w:rFonts w:ascii="Arial" w:hAnsi="Arial" w:eastAsia="Times New Roman" w:cs="Arial"/>
          <w:b/>
          <w:iCs/>
          <w:color w:val="000000"/>
          <w:lang w:eastAsia="es-ar"/>
        </w:rPr>
        <w:t>Bibliografía Obligatoria:</w:t>
      </w:r>
    </w:p>
    <w:p>
      <w:pPr>
        <w:spacing w:after="0" w:line="240" w:lineRule="auto"/>
        <w:jc w:val="both"/>
        <w:rPr>
          <w:rFonts w:ascii="Arial" w:hAnsi="Arial" w:eastAsia="Times New Roman" w:cs="Arial"/>
          <w:b/>
          <w:iCs/>
          <w:color w:val="000000"/>
          <w:lang w:eastAsia="es-ar"/>
        </w:rPr>
      </w:pPr>
      <w:r>
        <w:rPr>
          <w:rFonts w:ascii="Arial" w:hAnsi="Arial" w:eastAsia="Times New Roman" w:cs="Arial"/>
          <w:b/>
          <w:iCs/>
          <w:color w:val="000000"/>
          <w:lang w:eastAsia="es-ar"/>
        </w:rPr>
      </w:r>
    </w:p>
    <w:p>
      <w:pPr>
        <w:pStyle w:val="para5"/>
        <w:numPr>
          <w:ilvl w:val="0"/>
          <w:numId w:val="25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 xml:space="preserve">Diseños curriculares de la Dirección General de Escuelas de la Provincia de Buenos Aires. </w:t>
      </w:r>
    </w:p>
    <w:p>
      <w:pPr>
        <w:pStyle w:val="para5"/>
        <w:numPr>
          <w:ilvl w:val="0"/>
          <w:numId w:val="25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 xml:space="preserve">Introducción al Diseño Curricular de Historia (DGEyC). </w:t>
      </w:r>
    </w:p>
    <w:p>
      <w:pPr>
        <w:pStyle w:val="para5"/>
        <w:numPr>
          <w:ilvl w:val="0"/>
          <w:numId w:val="32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Feldman, Daniel. Didáctica General. Capítulo 3. Ministerio de Educación de la Nación, Buenos Aires, 2010.</w:t>
      </w:r>
    </w:p>
    <w:p>
      <w:pPr>
        <w:pStyle w:val="para5"/>
        <w:numPr>
          <w:ilvl w:val="0"/>
          <w:numId w:val="25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Feldman, Daniel. Didáctica General. Capítulo 4 “La programación”. Ministerio de Educación de la Nación, 2010.</w:t>
      </w:r>
    </w:p>
    <w:p>
      <w:pPr>
        <w:pStyle w:val="para5"/>
        <w:numPr>
          <w:ilvl w:val="0"/>
          <w:numId w:val="27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Feldman, Daniel. Didáctica General. Capítulo 5 “La evaluación”. Ministerio de Educación de la Nación, 2010.</w:t>
      </w:r>
    </w:p>
    <w:p>
      <w:pPr>
        <w:spacing w:after="0" w:line="240" w:lineRule="auto"/>
        <w:jc w:val="both"/>
        <w:rPr>
          <w:rFonts w:ascii="Arial" w:hAnsi="Arial" w:eastAsia="Times New Roman" w:cs="Arial"/>
          <w:i/>
          <w:iCs/>
          <w:color w:val="000000"/>
          <w:lang w:eastAsia="es-ar"/>
        </w:rPr>
      </w:pPr>
      <w:r>
        <w:rPr>
          <w:rFonts w:ascii="Arial" w:hAnsi="Arial" w:eastAsia="Times New Roman" w:cs="Arial"/>
          <w:i/>
          <w:iCs/>
          <w:color w:val="000000"/>
          <w:lang w:eastAsia="es-ar"/>
        </w:rPr>
      </w:r>
    </w:p>
    <w:p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000000"/>
          <w:lang w:eastAsia="es-ar"/>
        </w:rPr>
      </w:pPr>
      <w:r>
        <w:rPr>
          <w:rFonts w:ascii="Arial" w:hAnsi="Arial" w:eastAsia="Times New Roman" w:cs="Arial"/>
          <w:b/>
          <w:bCs/>
          <w:color w:val="000000"/>
          <w:lang w:eastAsia="es-ar"/>
        </w:rPr>
        <w:t>Unidad 3: Recursos didácticos para trabajar en el aula</w:t>
      </w:r>
    </w:p>
    <w:p>
      <w:pPr>
        <w:spacing w:after="0" w:line="240" w:lineRule="auto"/>
        <w:jc w:val="both"/>
        <w:rPr>
          <w:rFonts w:ascii="Arial" w:hAnsi="Arial" w:eastAsia="Arial" w:cs="Arial"/>
          <w:lang w:eastAsia="es-ar"/>
        </w:rPr>
      </w:pPr>
      <w:r>
        <w:rPr>
          <w:rFonts w:ascii="Arial" w:hAnsi="Arial" w:eastAsia="Arial" w:cs="Arial"/>
          <w:lang w:eastAsia="es-ar"/>
        </w:rPr>
        <w:t>Participación en clase y actividades grupales. Utilización de mapas e imágenes como recursos. La lectura compartida. Estudio de fuentes escritas. Las películas como recurso. Las actividades con buenas preguntas. Estudios de casos. Elaboración de secuencias didácticas.</w:t>
      </w:r>
    </w:p>
    <w:p>
      <w:pPr>
        <w:spacing w:after="0" w:line="240" w:lineRule="auto"/>
        <w:jc w:val="both"/>
        <w:rPr>
          <w:rFonts w:ascii="Arial" w:hAnsi="Arial" w:eastAsia="Times New Roman" w:cs="Arial"/>
          <w:b/>
          <w:i/>
          <w:iCs/>
          <w:color w:val="000000"/>
          <w:lang w:eastAsia="es-ar"/>
        </w:rPr>
      </w:pPr>
      <w:r>
        <w:rPr>
          <w:rFonts w:ascii="Arial" w:hAnsi="Arial" w:eastAsia="Times New Roman" w:cs="Arial"/>
          <w:b/>
          <w:i/>
          <w:iCs/>
          <w:color w:val="000000"/>
          <w:lang w:eastAsia="es-ar"/>
        </w:rPr>
      </w:r>
    </w:p>
    <w:p>
      <w:pPr>
        <w:ind w:left="360"/>
        <w:spacing w:after="0" w:line="240" w:lineRule="auto"/>
        <w:jc w:val="both"/>
        <w:rPr>
          <w:rFonts w:ascii="Arial" w:hAnsi="Arial" w:eastAsia="Times New Roman" w:cs="Arial"/>
          <w:b/>
          <w:i/>
          <w:iCs/>
          <w:color w:val="000000"/>
          <w:lang w:eastAsia="es-ar"/>
        </w:rPr>
      </w:pPr>
      <w:r>
        <w:rPr>
          <w:rFonts w:ascii="Arial" w:hAnsi="Arial" w:eastAsia="Times New Roman" w:cs="Arial"/>
          <w:b/>
          <w:i/>
          <w:iCs/>
          <w:color w:val="000000"/>
          <w:lang w:eastAsia="es-ar"/>
        </w:rPr>
        <w:t>Bibliografía Obligatoria:</w:t>
      </w:r>
    </w:p>
    <w:p>
      <w:pPr>
        <w:ind w:left="360"/>
        <w:spacing w:after="0" w:line="240" w:lineRule="auto"/>
        <w:jc w:val="both"/>
        <w:rPr>
          <w:rFonts w:ascii="Arial" w:hAnsi="Arial" w:eastAsia="Times New Roman" w:cs="Arial"/>
          <w:b/>
          <w:iCs/>
          <w:color w:val="000000"/>
          <w:lang w:eastAsia="es-ar"/>
        </w:rPr>
      </w:pPr>
      <w:r>
        <w:rPr>
          <w:rFonts w:ascii="Arial" w:hAnsi="Arial" w:eastAsia="Times New Roman" w:cs="Arial"/>
          <w:b/>
          <w:iCs/>
          <w:color w:val="000000"/>
          <w:lang w:eastAsia="es-ar"/>
        </w:rPr>
      </w:r>
    </w:p>
    <w:p>
      <w:pPr>
        <w:pStyle w:val="para5"/>
        <w:numPr>
          <w:ilvl w:val="0"/>
          <w:numId w:val="4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Dolors Quinquer. “Estrategias metodológicas para enseñar y aprender Ciencias Sociales: interacción, cooperación y participación”</w:t>
      </w:r>
    </w:p>
    <w:p>
      <w:pPr>
        <w:pStyle w:val="para5"/>
        <w:numPr>
          <w:ilvl w:val="0"/>
          <w:numId w:val="6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Aisenberg, Beatriz - Ciencias Sociales en la escuela (cap.3), Editorial Aique, 2021.</w:t>
      </w:r>
    </w:p>
    <w:p>
      <w:pPr>
        <w:pStyle w:val="para5"/>
        <w:numPr>
          <w:ilvl w:val="0"/>
          <w:numId w:val="23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 xml:space="preserve">Anijovich, Rebeca. Estrategias de enseñanza. Cap. 2 “Las buenas preguntas”. Editorial Aique, 2019 </w:t>
      </w:r>
    </w:p>
    <w:p>
      <w:pPr>
        <w:pStyle w:val="para5"/>
        <w:numPr>
          <w:ilvl w:val="0"/>
          <w:numId w:val="2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Basilio, María Teresa y Guerra, Cristina - LAS ACTIVIDADES EN LA CLASE DE HISTORIA, 2008.</w:t>
      </w:r>
    </w:p>
    <w:p>
      <w:pPr>
        <w:pStyle w:val="para5"/>
        <w:numPr>
          <w:ilvl w:val="0"/>
          <w:numId w:val="9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Waserman Selma – La enseñanza basada en  el método de casos. Amorrortu Editores, 1994.</w:t>
      </w:r>
    </w:p>
    <w:p>
      <w:pPr>
        <w:pStyle w:val="para5"/>
        <w:numPr>
          <w:ilvl w:val="0"/>
          <w:numId w:val="9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Lois Carla - El mapa, los mapas: Propuestas metodológicas para abordar la pluralidad y la inestabilidad de la imagen cartográfica. Universidad Nacional de La Plata, 2015.</w:t>
      </w:r>
    </w:p>
    <w:p>
      <w:pPr>
        <w:pStyle w:val="para5"/>
        <w:numPr>
          <w:ilvl w:val="0"/>
          <w:numId w:val="9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 xml:space="preserve">Anijovich, Rebeca. Estrategias de enseñanza. Cap. 4 “El uso crítico de las imágenes". Editorial Aique, 2019. </w:t>
      </w:r>
    </w:p>
    <w:p>
      <w:pPr>
        <w:pStyle w:val="para5"/>
        <w:numPr>
          <w:ilvl w:val="0"/>
          <w:numId w:val="9"/>
        </w:numPr>
        <w:ind w:left="720" w:hanging="360"/>
        <w:spacing w:after="283" w:line="276" w:lineRule="auto"/>
        <w:contextualSpacing w:val="0"/>
        <w:rPr>
          <w:rFonts w:ascii="Arial" w:hAnsi="Arial" w:eastAsia="Arial" w:cs="Arial"/>
          <w:lang w:val="es-es"/>
        </w:rPr>
      </w:pPr>
      <w:r>
        <w:rPr>
          <w:rFonts w:ascii="Arial" w:hAnsi="Arial" w:eastAsia="Arial" w:cs="Arial"/>
          <w:lang w:val="es-es"/>
        </w:rPr>
        <w:t>Valero Martinez, Tomás. Cine e Historia: una propuesta didáctica.</w:t>
      </w:r>
    </w:p>
    <w:p>
      <w:pPr>
        <w:spacing w:after="0" w:line="240" w:lineRule="auto"/>
        <w:rPr>
          <w:rFonts w:ascii="Arial" w:hAnsi="Arial" w:cs="Arial"/>
          <w:color w:val="000000"/>
          <w:sz w:val="24"/>
          <w:szCs w:val="24"/>
          <w:u w:color="auto" w:val="single"/>
          <w:lang w:val="es-mx"/>
        </w:rPr>
      </w:pPr>
      <w:r>
        <w:rPr>
          <w:rFonts w:ascii="Arial" w:hAnsi="Arial" w:cs="Arial"/>
          <w:color w:val="000000"/>
          <w:sz w:val="24"/>
          <w:szCs w:val="24"/>
          <w:u w:color="auto" w:val="single"/>
          <w:lang w:val="es-mx"/>
        </w:rPr>
      </w: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color="auto" w:val="single"/>
        </w:rPr>
      </w:pPr>
      <w:r>
        <w:rPr>
          <w:rFonts w:ascii="Arial" w:hAnsi="Arial" w:cs="Arial"/>
          <w:b/>
          <w:bCs/>
          <w:sz w:val="24"/>
          <w:szCs w:val="24"/>
          <w:u w:color="auto" w:val="single"/>
        </w:rPr>
        <w:t>PRESUPUESTO DE TIEMPO</w:t>
      </w:r>
    </w:p>
    <w:p>
      <w:pPr>
        <w:spacing w:after="0" w:line="240" w:lineRule="auto"/>
        <w:rPr>
          <w:rFonts w:ascii="Arial" w:hAnsi="Arial" w:eastAsia="Arial" w:cs="Arial"/>
          <w:b/>
          <w:bCs/>
          <w:u w:color="auto" w:val="single"/>
        </w:rPr>
      </w:pPr>
      <w:r>
        <w:rPr>
          <w:rFonts w:ascii="Arial" w:hAnsi="Arial" w:eastAsia="Arial" w:cs="Arial"/>
          <w:b/>
          <w:bCs/>
          <w:u w:color="auto" w:val="single"/>
        </w:rPr>
      </w:r>
    </w:p>
    <w:p>
      <w:pPr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>El cronograma prevé el desarrollo de la Unidad Didáctica 1  y parte de la unidad 2 para el primer cuatrimestre y durante el segundo cuatrimestre, parte de la unidad 2 y la unidad 3.</w:t>
      </w:r>
    </w:p>
    <w:p>
      <w:pPr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 xml:space="preserve"> En dicho cronograma se contempla la toma de un parcial en cada uno de los cuatrimestres y el desarrollo de un trabajo práctico integrador por cuatrimestre.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es-es"/>
        </w:rPr>
      </w:pPr>
      <w:r>
        <w:rPr>
          <w:rFonts w:ascii="Times New Roman" w:hAnsi="Times New Roman" w:eastAsia="Times New Roman"/>
          <w:sz w:val="24"/>
          <w:szCs w:val="24"/>
          <w:lang w:eastAsia="es-es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es-es"/>
        </w:rPr>
      </w:pPr>
      <w:r>
        <w:rPr>
          <w:rFonts w:ascii="Times New Roman" w:hAnsi="Times New Roman" w:eastAsia="Times New Roman"/>
          <w:sz w:val="24"/>
          <w:szCs w:val="24"/>
          <w:lang w:eastAsia="es-es"/>
        </w:rPr>
      </w: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color="auto" w:val="single"/>
        </w:rPr>
      </w:pPr>
      <w:r>
        <w:rPr>
          <w:rFonts w:ascii="Arial" w:hAnsi="Arial" w:cs="Arial"/>
          <w:b/>
          <w:bCs/>
          <w:sz w:val="24"/>
          <w:szCs w:val="24"/>
          <w:u w:color="auto" w:val="single"/>
        </w:rPr>
        <w:t>EVALUACIÓN</w:t>
      </w: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color="auto" w:val="single"/>
        </w:rPr>
      </w:pPr>
      <w:r>
        <w:rPr>
          <w:rFonts w:ascii="Arial" w:hAnsi="Arial" w:cs="Arial"/>
          <w:b/>
          <w:bCs/>
          <w:sz w:val="24"/>
          <w:szCs w:val="24"/>
          <w:u w:color="auto" w:val="single"/>
        </w:rPr>
      </w:r>
    </w:p>
    <w:p>
      <w:pPr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>La evaluación será de carácter procesual atendiendo la intencionalidad de analizar y comprender el proceso, tal como va ocurriendo, en la adquisición de los conocimientos de parte de los estudiantes.</w:t>
      </w:r>
    </w:p>
    <w:p>
      <w:pPr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</w:r>
    </w:p>
    <w:p>
      <w:pPr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>Instancias de evaluación durante el desarrollo del curso:</w:t>
      </w:r>
    </w:p>
    <w:p>
      <w:pPr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</w:r>
    </w:p>
    <w:p>
      <w:pPr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b/>
          <w:bCs/>
          <w:lang w:eastAsia="es-es"/>
        </w:rPr>
        <w:t>-</w:t>
      </w:r>
      <w:r>
        <w:rPr>
          <w:rFonts w:ascii="Arial" w:hAnsi="Arial" w:eastAsia="Arial" w:cs="Arial"/>
          <w:lang w:eastAsia="es-es"/>
        </w:rPr>
        <w:t>Inicial: indagatoria de saberes y perspectivas previas.</w:t>
      </w:r>
    </w:p>
    <w:p>
      <w:pPr>
        <w:spacing w:after="0" w:line="240" w:lineRule="auto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</w:r>
    </w:p>
    <w:p>
      <w:pPr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>-Para la evaluación del proceso se tendrá en cuenta:</w:t>
      </w:r>
    </w:p>
    <w:p>
      <w:pPr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</w:r>
    </w:p>
    <w:p>
      <w:pPr>
        <w:numPr>
          <w:ilvl w:val="0"/>
          <w:numId w:val="11"/>
        </w:numPr>
        <w:ind w:left="480" w:hanging="360"/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>Grado de participación en las actividades previstas para cada encuentro.</w:t>
      </w:r>
    </w:p>
    <w:p>
      <w:pPr>
        <w:numPr>
          <w:ilvl w:val="0"/>
          <w:numId w:val="11"/>
        </w:numPr>
        <w:ind w:left="480" w:hanging="360"/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>Nivel de lectura y análisis de la bibliografía.</w:t>
      </w:r>
    </w:p>
    <w:p>
      <w:pPr>
        <w:numPr>
          <w:ilvl w:val="0"/>
          <w:numId w:val="11"/>
        </w:numPr>
        <w:ind w:left="480" w:hanging="360"/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>Cooperación en los trabajos, dentro de los grupos de aprendizaje.</w:t>
      </w:r>
    </w:p>
    <w:p>
      <w:pPr>
        <w:numPr>
          <w:ilvl w:val="0"/>
          <w:numId w:val="11"/>
        </w:numPr>
        <w:ind w:left="480" w:hanging="360"/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>Capacidad de reflexionar sobre el propio proceso de aprendizaje.</w:t>
      </w:r>
    </w:p>
    <w:p>
      <w:pPr>
        <w:numPr>
          <w:ilvl w:val="0"/>
          <w:numId w:val="11"/>
        </w:numPr>
        <w:ind w:left="480" w:hanging="360"/>
        <w:spacing w:after="0" w:line="240" w:lineRule="auto"/>
        <w:jc w:val="both"/>
        <w:rPr>
          <w:rFonts w:ascii="Arial" w:hAnsi="Arial" w:eastAsia="Arial" w:cs="Arial"/>
          <w:lang w:eastAsia="es-es"/>
        </w:rPr>
      </w:pPr>
      <w:r>
        <w:rPr>
          <w:rFonts w:ascii="Arial" w:hAnsi="Arial" w:eastAsia="Arial" w:cs="Arial"/>
          <w:lang w:eastAsia="es-es"/>
        </w:rPr>
        <w:t>Capacidad para diseñar acciones, aplicando los conocimientos, para resolver los problemas detectados.</w:t>
      </w:r>
    </w:p>
    <w:p>
      <w:pPr>
        <w:numPr>
          <w:ilvl w:val="0"/>
          <w:numId w:val="11"/>
        </w:numPr>
        <w:ind w:left="480" w:hanging="360"/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Evidencia de conocimientos e interrelaciones conceptuales.</w:t>
      </w:r>
    </w:p>
    <w:p>
      <w:pPr>
        <w:numPr>
          <w:ilvl w:val="0"/>
          <w:numId w:val="11"/>
        </w:numPr>
        <w:ind w:left="480" w:hanging="360"/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Empleo de lenguaje académico en las producciones personales.</w:t>
      </w:r>
    </w:p>
    <w:p>
      <w:pPr>
        <w:numPr>
          <w:ilvl w:val="0"/>
          <w:numId w:val="11"/>
        </w:numPr>
        <w:ind w:left="480" w:hanging="360"/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Aprobación de actividades integradoras, trabajos prácticos grupales y examen final.</w:t>
      </w:r>
    </w:p>
    <w:p>
      <w:pPr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 w:after="0" w:line="240" w:lineRule="auto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  <w:u w:color="auto" w:val="single"/>
        </w:rPr>
        <w:t>CONDICIONES PARA LA APROBACION DE LA CURSADA</w:t>
      </w:r>
      <w:r>
        <w:rPr>
          <w:rFonts w:ascii="Arial" w:hAnsi="Arial" w:eastAsia="Arial" w:cs="Arial"/>
          <w:b/>
          <w:bCs/>
        </w:rPr>
        <w:t xml:space="preserve"> </w:t>
      </w:r>
    </w:p>
    <w:p>
      <w:pPr>
        <w:spacing w:after="0" w:line="240" w:lineRule="auto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rPr>
          <w:rFonts w:ascii="Arial" w:hAnsi="Arial" w:eastAsia="Arial" w:cs="Arial"/>
          <w:color w:val="0d0d0d"/>
          <w:lang w:val="es-mx"/>
        </w:rPr>
      </w:pPr>
      <w:r>
        <w:rPr>
          <w:rFonts w:ascii="Arial" w:hAnsi="Arial" w:eastAsia="Arial" w:cs="Arial"/>
          <w:color w:val="0d0d0d"/>
          <w:lang w:val="es-mx"/>
        </w:rPr>
        <w:t>-Desarrollar las actividades solicitadas en cada una de las clases.</w:t>
      </w:r>
    </w:p>
    <w:p>
      <w:pPr>
        <w:rPr>
          <w:rFonts w:ascii="Arial" w:hAnsi="Arial" w:eastAsia="Arial" w:cs="Arial"/>
          <w:color w:val="0d0d0d"/>
          <w:lang w:val="es-mx"/>
        </w:rPr>
      </w:pPr>
      <w:r>
        <w:rPr>
          <w:rFonts w:ascii="Arial" w:hAnsi="Arial" w:eastAsia="Arial" w:cs="Arial"/>
          <w:color w:val="0d0d0d"/>
          <w:lang w:val="es-mx"/>
        </w:rPr>
        <w:t>-Aprobar los trabajos prácticos de integración.</w:t>
      </w:r>
    </w:p>
    <w:p>
      <w:pPr>
        <w:rPr>
          <w:rFonts w:ascii="Arial" w:hAnsi="Arial" w:eastAsia="Arial" w:cs="Arial"/>
          <w:color w:val="0d0d0d"/>
          <w:lang w:val="es-mx"/>
        </w:rPr>
      </w:pPr>
      <w:r>
        <w:rPr>
          <w:rFonts w:ascii="Arial" w:hAnsi="Arial" w:eastAsia="Arial" w:cs="Arial"/>
          <w:color w:val="0d0d0d"/>
          <w:lang w:val="es-mx"/>
        </w:rPr>
        <w:t>-Aprobar las evaluaciones escritas de cada cuatrimestre.</w:t>
      </w:r>
    </w:p>
    <w:p>
      <w:pPr>
        <w:rPr>
          <w:rFonts w:ascii="Arial" w:hAnsi="Arial" w:eastAsia="Arial" w:cs="Arial"/>
          <w:color w:val="0d0d0d"/>
          <w:lang w:val="es-mx"/>
        </w:rPr>
      </w:pPr>
      <w:r>
        <w:rPr>
          <w:rFonts w:ascii="Arial" w:hAnsi="Arial" w:eastAsia="Arial" w:cs="Arial"/>
          <w:color w:val="0d0d0d"/>
          <w:lang w:val="es-mx"/>
        </w:rPr>
        <w:t>-Se dispondrá de una instancia de recuperación que se deberá aprobar para no recursar la materia.</w:t>
      </w:r>
    </w:p>
    <w:p>
      <w:pPr>
        <w:spacing w:after="0" w:line="240" w:lineRule="auto"/>
        <w:rPr>
          <w:rFonts w:ascii="Arial" w:hAnsi="Arial" w:eastAsia="Arial" w:cs="Arial"/>
          <w:b/>
          <w:color w:val="000000"/>
          <w:lang w:val="es-ES_tradnl"/>
        </w:rPr>
      </w:pPr>
      <w:r>
        <w:rPr>
          <w:rFonts w:ascii="Arial" w:hAnsi="Arial" w:eastAsia="Arial" w:cs="Arial"/>
          <w:b/>
          <w:color w:val="000000"/>
          <w:lang w:val="es-ES_tradnl"/>
        </w:rPr>
      </w:r>
    </w:p>
    <w:p>
      <w:pPr>
        <w:spacing w:after="0" w:line="240" w:lineRule="auto"/>
        <w:rPr>
          <w:rFonts w:ascii="Arial" w:hAnsi="Arial" w:eastAsia="Arial" w:cs="Arial"/>
          <w:b/>
          <w:color w:val="000000"/>
          <w:lang w:val="es-ES_tradnl"/>
        </w:rPr>
      </w:pPr>
      <w:r>
        <w:rPr>
          <w:rFonts w:ascii="Arial" w:hAnsi="Arial" w:eastAsia="Arial" w:cs="Arial"/>
          <w:b/>
          <w:color w:val="000000"/>
          <w:lang w:val="es-ES_tradnl"/>
        </w:rPr>
      </w:r>
    </w:p>
    <w:p>
      <w:pPr>
        <w:spacing w:after="0" w:line="240" w:lineRule="auto"/>
        <w:rPr>
          <w:rFonts w:ascii="Arial" w:hAnsi="Arial" w:eastAsia="Arial" w:cs="Arial"/>
          <w:bCs/>
        </w:rPr>
      </w:pPr>
      <w:r>
        <w:rPr>
          <w:rFonts w:ascii="Arial" w:hAnsi="Arial" w:eastAsia="Arial" w:cs="Arial"/>
          <w:b/>
          <w:bCs/>
          <w:u w:color="auto" w:val="single"/>
        </w:rPr>
        <w:t>CONDICIONES PARA LA ACREDITACION DE LA MATERIA</w:t>
      </w:r>
      <w:r>
        <w:rPr>
          <w:rFonts w:ascii="Arial" w:hAnsi="Arial" w:eastAsia="Arial" w:cs="Arial"/>
          <w:b/>
          <w:bCs/>
        </w:rPr>
        <w:t xml:space="preserve"> </w:t>
      </w:r>
      <w:r>
        <w:rPr>
          <w:rFonts w:ascii="Arial" w:hAnsi="Arial" w:eastAsia="Arial" w:cs="Arial"/>
          <w:bCs/>
        </w:rPr>
      </w:r>
    </w:p>
    <w:p>
      <w:pPr>
        <w:spacing w:after="0" w:line="240" w:lineRule="auto"/>
        <w:rPr>
          <w:rFonts w:ascii="Arial" w:hAnsi="Arial" w:eastAsia="Arial" w:cs="Arial"/>
          <w:bCs/>
        </w:rPr>
      </w:pPr>
      <w:r>
        <w:rPr>
          <w:rFonts w:ascii="Arial" w:hAnsi="Arial" w:eastAsia="Arial" w:cs="Arial"/>
          <w:bCs/>
        </w:rPr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La materia es con final obligatorio. Para acceder a la instancia final se debe aprobar la cursada.</w:t>
      </w:r>
    </w:p>
    <w:p>
      <w:pPr>
        <w:pStyle w:val="para5"/>
        <w:numPr>
          <w:ilvl w:val="0"/>
          <w:numId w:val="19"/>
        </w:numPr>
        <w:ind w:left="72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ALUMNOS LIBRES:</w:t>
      </w:r>
      <w:r>
        <w:rPr>
          <w:rFonts w:ascii="Arial" w:hAnsi="Arial" w:eastAsia="Arial" w:cs="Arial"/>
        </w:rPr>
      </w:r>
    </w:p>
    <w:p>
      <w:pPr>
        <w:pStyle w:val="para5"/>
        <w:numPr>
          <w:ilvl w:val="0"/>
          <w:numId w:val="19"/>
        </w:numPr>
        <w:ind w:left="72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Evaluación escrita con aprobación de nota numérica 4 (cuatro) o más.</w:t>
      </w:r>
    </w:p>
    <w:p>
      <w:pPr>
        <w:pStyle w:val="para5"/>
        <w:numPr>
          <w:ilvl w:val="0"/>
          <w:numId w:val="19"/>
        </w:numPr>
        <w:ind w:left="72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Instancia de evaluación oral con aprobación de nota numérica de 4  (cuatro) o más.</w:t>
      </w:r>
    </w:p>
    <w:p>
      <w:pPr>
        <w:pStyle w:val="para5"/>
        <w:numPr>
          <w:ilvl w:val="0"/>
          <w:numId w:val="19"/>
        </w:numPr>
        <w:ind w:left="72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Se debe aprobar la instancia primera para acceder a la 2da instancia.</w:t>
      </w:r>
    </w:p>
    <w:p>
      <w:pPr>
        <w:pStyle w:val="para5"/>
        <w:numPr>
          <w:ilvl w:val="0"/>
          <w:numId w:val="19"/>
        </w:numPr>
        <w:ind w:left="720" w:hanging="360"/>
        <w: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Se deberá tener en cuenta todas las bibliografías establecidas y las secuencias didácticas solicitadas..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footerReference w:type="default" r:id="rId9"/>
      <w:type w:val="nextPage"/>
      <w:pgSz w:h="16839" w:w="11907"/>
      <w:pgMar w:left="567" w:top="33" w:right="567" w:bottom="851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Courier New">
    <w:panose1 w:val="02070309020205020404"/>
    <w:charset w:val="00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Arial-BoldMT">
    <w:panose1 w:val="020B0604020202020204"/>
    <w:charset w:val="00"/>
    <w:family w:val="swiss"/>
    <w:pitch w:val="default"/>
  </w:font>
  <w:font w:name="Adobe Song Std L"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PLAN AUTORIZADO POR RESOLUCION N°: 13259/99</w:t>
    </w:r>
  </w:p>
  <w:p>
    <w:pPr>
      <w:spacing w:after="0" w:line="240" w:lineRule="auto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  <w:rPr>
        <w:rFonts w:ascii="Arial" w:hAnsi="Arial" w:cs="Arial"/>
        <w:b/>
        <w:sz w:val="20"/>
        <w:szCs w:val="20"/>
        <w:u w:color="auto" w:val="single"/>
      </w:rPr>
    </w:pPr>
    <w:r>
      <w:rPr>
        <w:rFonts w:ascii="Arial" w:hAnsi="Arial" w:cs="Arial"/>
        <w:b/>
        <w:sz w:val="20"/>
        <w:szCs w:val="20"/>
        <w:u w:color="auto" w:val="single"/>
      </w:rPr>
    </w:r>
  </w:p>
  <w:p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u w:color="auto" w:val="single"/>
      </w:rPr>
      <w:t>VIGENCIA AÑO/S</w:t>
    </w:r>
    <w:r>
      <w:rPr>
        <w:rFonts w:ascii="Arial" w:hAnsi="Arial" w:cs="Arial"/>
        <w:b/>
        <w:sz w:val="20"/>
        <w:szCs w:val="20"/>
      </w:rPr>
      <w:t>: 2022-23</w:t>
    </w:r>
  </w:p>
  <w:p>
    <w:pPr>
      <w:spacing w:after="0" w:line="240" w:lineRule="auto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tbl>
    <w:tblPr>
      <w:tblStyle w:val="TableGrid"/>
      <w:name w:val="Tabla1"/>
      <w:tabOrder w:val="0"/>
      <w:jc w:val="right"/>
      <w:tblInd w:w="0" w:type="dxa"/>
      <w:tblW w:w="10773" w:type="dxa"/>
      <w:tblLook w:val="04A0" w:firstRow="1" w:lastRow="0" w:firstColumn="1" w:lastColumn="0" w:noHBand="0" w:noVBand="1"/>
    </w:tblPr>
    <w:tblGrid>
      <w:gridCol w:w="3229"/>
      <w:gridCol w:w="7544"/>
    </w:tblGrid>
    <w:tr>
      <w:trPr>
        <w:tblHeader w:val="0"/>
        <w:cantSplit w:val="0"/>
        <w:trHeight w:val="2021" w:hRule="atLeast"/>
      </w:trPr>
      <w:tc>
        <w:tcPr>
          <w:tcW w:w="3229" w:type="dxa"/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</w:tcBorders>
          <w:tmTcPr id="1656449580" protected="0"/>
        </w:tcPr>
        <w:p>
          <w:pPr>
            <w:pStyle w:val="para4"/>
            <w:rPr>
              <w:rFonts w:ascii="Arial" w:hAnsi="Arial" w:cs="Arial"/>
              <w:b/>
              <w:i w:val="0"/>
              <w:color w:val="000000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595" cy="866140"/>
                <wp:effectExtent l="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/>
                        <pic:cNvPicPr>
                          <a:picLocks noChangeAspect="1"/>
                          <a:extLst>
                            <a:ext uri="smNativeData">
                              <sm:smNativeData xmlns:sm="smNativeData" val="SMDATA_16_LGq7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GCAAAAAAAAABAAAAAAAAAAIAAAAMAwAAAAAAAAIAAAD9////2QUAAFQFAAAAAAAArwUAAMECAAAoAAAACAAAAAEAAAABAAAA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95" cy="866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i w:val="0"/>
              <w:color w:val="000000"/>
              <w:szCs w:val="18"/>
            </w:rPr>
          </w:r>
        </w:p>
        <w:p>
          <w:pPr>
            <w:pStyle w:val="para4"/>
            <w:rPr>
              <w:rFonts w:eastAsia="Adobe Song Std L"/>
              <w:b/>
              <w:i w:val="0"/>
              <w:color w:val="000000"/>
              <w:sz w:val="16"/>
              <w:szCs w:val="18"/>
            </w:rPr>
          </w:pPr>
          <w:r>
            <w:rPr>
              <w:rFonts w:eastAsia="Adobe Song Std L"/>
              <w:b/>
              <w:i w:val="0"/>
              <w:color w:val="000000"/>
              <w:sz w:val="16"/>
              <w:szCs w:val="18"/>
            </w:rPr>
          </w:r>
        </w:p>
        <w:p>
          <w:pPr>
            <w:pStyle w:val="para4"/>
            <w:rPr>
              <w:rFonts w:eastAsia="Adobe Song Std L"/>
              <w:b/>
              <w:i w:val="0"/>
              <w:color w:val="000000"/>
              <w:sz w:val="16"/>
              <w:szCs w:val="18"/>
            </w:rPr>
          </w:pPr>
          <w:r>
            <w:rPr>
              <w:rFonts w:eastAsia="Adobe Song Std L"/>
              <w:b/>
              <w:i w:val="0"/>
              <w:color w:val="000000"/>
              <w:sz w:val="16"/>
              <w:szCs w:val="18"/>
            </w:rPr>
          </w:r>
        </w:p>
        <w:p>
          <w:pPr>
            <w:pStyle w:val="para4"/>
            <w:rPr>
              <w:rFonts w:eastAsia="Adobe Song Std L"/>
              <w:b/>
              <w:i w:val="0"/>
              <w:color w:val="000000"/>
              <w:sz w:val="16"/>
              <w:szCs w:val="18"/>
            </w:rPr>
          </w:pPr>
          <w:r>
            <w:rPr>
              <w:rFonts w:eastAsia="Adobe Song Std L"/>
              <w:b/>
              <w:i w:val="0"/>
              <w:color w:val="000000"/>
              <w:sz w:val="16"/>
              <w:szCs w:val="18"/>
            </w:rPr>
          </w:r>
        </w:p>
        <w:p>
          <w:pPr>
            <w:pStyle w:val="para4"/>
            <w:rPr>
              <w:rFonts w:eastAsia="Adobe Song Std L"/>
              <w:b/>
              <w:i w:val="0"/>
              <w:color w:val="000000"/>
              <w:sz w:val="16"/>
              <w:szCs w:val="18"/>
            </w:rPr>
          </w:pPr>
          <w:r>
            <w:rPr>
              <w:rFonts w:eastAsia="Adobe Song Std L"/>
              <w:b/>
              <w:i w:val="0"/>
              <w:color w:val="000000"/>
              <w:sz w:val="16"/>
              <w:szCs w:val="18"/>
            </w:rPr>
          </w:r>
        </w:p>
        <w:p>
          <w:pPr>
            <w:pStyle w:val="para4"/>
            <w:rPr>
              <w:rFonts w:eastAsia="Adobe Song Std L"/>
              <w:b/>
              <w:i w:val="0"/>
              <w:color w:val="000000"/>
              <w:sz w:val="16"/>
              <w:szCs w:val="18"/>
            </w:rPr>
          </w:pPr>
          <w:r>
            <w:rPr>
              <w:rFonts w:eastAsia="Adobe Song Std L"/>
              <w:b/>
              <w:i w:val="0"/>
              <w:color w:val="000000"/>
              <w:sz w:val="16"/>
              <w:szCs w:val="18"/>
            </w:rPr>
          </w:r>
        </w:p>
        <w:p>
          <w:pPr>
            <w:pStyle w:val="para4"/>
            <w:rPr>
              <w:rFonts w:eastAsia="Adobe Song Std L"/>
              <w:b/>
              <w:i w:val="0"/>
              <w:color w:val="000000"/>
              <w:sz w:val="16"/>
              <w:szCs w:val="18"/>
            </w:rPr>
          </w:pPr>
          <w:r>
            <w:rPr>
              <w:rFonts w:eastAsia="Adobe Song Std L"/>
              <w:b/>
              <w:i w:val="0"/>
              <w:color w:val="000000"/>
              <w:sz w:val="16"/>
              <w:szCs w:val="18"/>
            </w:rPr>
          </w:r>
        </w:p>
        <w:p>
          <w:pPr>
            <w:pStyle w:val="para4"/>
            <w:rPr>
              <w:rFonts w:eastAsia="Adobe Song Std L"/>
              <w:b/>
              <w:i w:val="0"/>
              <w:color w:val="000000"/>
              <w:sz w:val="16"/>
              <w:szCs w:val="18"/>
            </w:rPr>
          </w:pPr>
          <w:r>
            <w:rPr>
              <w:rFonts w:eastAsia="Adobe Song Std L"/>
              <w:b/>
              <w:i w:val="0"/>
              <w:color w:val="000000"/>
              <w:sz w:val="16"/>
              <w:szCs w:val="18"/>
            </w:rPr>
            <w:t>Provincia de Buenos Aires</w:t>
          </w:r>
        </w:p>
        <w:p>
          <w:pPr>
            <w:pStyle w:val="para4"/>
            <w:rPr>
              <w:rFonts w:eastAsia="Adobe Song Std L"/>
              <w:b/>
              <w:i w:val="0"/>
              <w:color w:val="000000"/>
              <w:sz w:val="16"/>
              <w:szCs w:val="18"/>
            </w:rPr>
          </w:pPr>
          <w:r>
            <w:rPr>
              <w:rFonts w:eastAsia="Adobe Song Std L"/>
              <w:b/>
              <w:i w:val="0"/>
              <w:color w:val="000000"/>
              <w:sz w:val="16"/>
              <w:szCs w:val="18"/>
            </w:rPr>
            <w:t>Dirección de Cultura y Educación</w:t>
          </w:r>
        </w:p>
        <w:p>
          <w:pPr>
            <w:pStyle w:val="para4"/>
            <w:rPr>
              <w:rFonts w:ascii="Arial" w:hAnsi="Arial" w:cs="Arial"/>
              <w:b/>
              <w:i w:val="0"/>
              <w:color w:val="000000"/>
              <w:szCs w:val="18"/>
            </w:rPr>
          </w:pPr>
          <w:r>
            <w:rPr>
              <w:rFonts w:eastAsia="Adobe Song Std L"/>
              <w:b/>
              <w:i w:val="0"/>
              <w:color w:val="000000"/>
              <w:sz w:val="16"/>
              <w:szCs w:val="18"/>
            </w:rPr>
            <w:t>Dirección de Educación Superior Docente Inicial</w:t>
          </w:r>
          <w:r>
            <w:rPr>
              <w:rFonts w:ascii="Arial" w:hAnsi="Arial" w:cs="Arial"/>
              <w:b/>
              <w:i w:val="0"/>
              <w:color w:val="000000"/>
              <w:szCs w:val="18"/>
            </w:rPr>
          </w:r>
        </w:p>
      </w:tc>
      <w:tc>
        <w:tcPr>
          <w:tcW w:w="7544" w:type="dxa"/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</w:tcBorders>
          <w:tmTcPr id="1656449580" protected="0"/>
        </w:tcPr>
        <w:p>
          <w:pPr>
            <w:pStyle w:val="para4"/>
            <w:rPr>
              <w:b/>
              <w:i w:val="0"/>
              <w:color w:val="000000"/>
              <w:sz w:val="28"/>
              <w:szCs w:val="18"/>
              <w:lang w:val="es-ar"/>
            </w:rPr>
          </w:pPr>
          <w:r>
            <w:rPr>
              <w:b/>
              <w:i w:val="0"/>
              <w:color w:val="000000"/>
              <w:sz w:val="28"/>
              <w:szCs w:val="18"/>
              <w:lang w:val="es-ar"/>
            </w:rPr>
            <w:t>Instituto Superior de Formación Docente y Técnica Nº 46</w:t>
          </w:r>
        </w:p>
        <w:p>
          <w:pPr>
            <w:pStyle w:val="para4"/>
            <w:rPr>
              <w:b/>
              <w:i w:val="0"/>
              <w:color w:val="000000"/>
              <w:sz w:val="28"/>
              <w:szCs w:val="18"/>
              <w:lang w:val="es-ar"/>
            </w:rPr>
          </w:pPr>
          <w:r>
            <w:rPr>
              <w:b/>
              <w:i w:val="0"/>
              <w:color w:val="000000"/>
              <w:sz w:val="28"/>
              <w:szCs w:val="18"/>
              <w:lang w:val="es-ar"/>
            </w:rPr>
            <w:t>“2 de abril de 1982”</w:t>
          </w:r>
        </w:p>
        <w:p>
          <w:pPr>
            <w:pStyle w:val="para4"/>
            <w:rPr>
              <w:b/>
              <w:i w:val="0"/>
              <w:color w:val="000000"/>
              <w:sz w:val="28"/>
              <w:szCs w:val="18"/>
              <w:lang w:val="es-ar"/>
            </w:rPr>
          </w:pPr>
          <w:r>
            <w:rPr>
              <w:b/>
              <w:i w:val="0"/>
              <w:color w:val="000000"/>
              <w:sz w:val="28"/>
              <w:szCs w:val="18"/>
              <w:lang w:val="es-ar"/>
            </w:rPr>
          </w:r>
        </w:p>
        <w:p>
          <w:pPr>
            <w:pStyle w:val="para4"/>
            <w:rPr>
              <w:b/>
              <w:i w:val="0"/>
              <w:color w:val="000000"/>
              <w:sz w:val="20"/>
              <w:szCs w:val="18"/>
            </w:rPr>
          </w:pPr>
          <w:r>
            <w:rPr>
              <w:b/>
              <w:i w:val="0"/>
              <w:color w:val="000000"/>
              <w:sz w:val="20"/>
              <w:szCs w:val="18"/>
            </w:rPr>
            <w:t>Sede: Av. Pueyrredón 1250</w:t>
          </w:r>
        </w:p>
        <w:p>
          <w:pPr>
            <w:pStyle w:val="para4"/>
            <w:rPr>
              <w:b/>
              <w:i w:val="0"/>
              <w:color w:val="000000"/>
              <w:sz w:val="20"/>
              <w:szCs w:val="18"/>
            </w:rPr>
          </w:pPr>
          <w:r>
            <w:rPr>
              <w:b/>
              <w:i w:val="0"/>
              <w:color w:val="000000"/>
              <w:sz w:val="20"/>
              <w:szCs w:val="18"/>
            </w:rPr>
            <w:t>Sub-sede: Medrano 90</w:t>
          </w:r>
        </w:p>
        <w:p>
          <w:pPr>
            <w:pStyle w:val="para4"/>
            <w:rPr>
              <w:b/>
              <w:i w:val="0"/>
              <w:color w:val="000000"/>
              <w:sz w:val="20"/>
              <w:szCs w:val="18"/>
            </w:rPr>
          </w:pPr>
          <w:r>
            <w:rPr>
              <w:b/>
              <w:i w:val="0"/>
              <w:color w:val="000000"/>
              <w:sz w:val="20"/>
              <w:szCs w:val="18"/>
            </w:rPr>
            <w:t xml:space="preserve"> Ramos Mejía., La Matanza </w:t>
          </w:r>
        </w:p>
        <w:p>
          <w:pPr>
            <w:pStyle w:val="para4"/>
            <w:rPr>
              <w:b/>
              <w:i w:val="0"/>
              <w:color w:val="000000"/>
              <w:sz w:val="22"/>
              <w:szCs w:val="18"/>
              <w:lang w:val="es-ar"/>
            </w:rPr>
          </w:pPr>
          <w:r>
            <w:rPr>
              <w:b/>
              <w:i w:val="0"/>
              <w:color w:val="000000"/>
              <w:sz w:val="20"/>
              <w:szCs w:val="18"/>
              <w:lang w:val="es-ar"/>
            </w:rPr>
            <w:t xml:space="preserve">Te:+54 011 4658-6285  </w:t>
          </w:r>
          <w:r>
            <w:rPr>
              <w:b/>
              <w:i w:val="0"/>
              <w:color w:val="000000"/>
              <w:sz w:val="22"/>
              <w:szCs w:val="18"/>
              <w:lang w:val="es-ar"/>
            </w:rPr>
          </w:r>
        </w:p>
      </w:tc>
    </w:tr>
  </w:tbl>
  <w:p>
    <w:pPr>
      <w:pStyle w:val="para1"/>
      <w:tabs defTabSz="708">
        <w:tab w:val="clear" w:pos="4419" w:leader="none"/>
        <w:tab w:val="center" w:pos="4820" w:leader="none"/>
        <w:tab w:val="right" w:pos="8838" w:leader="none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b/>
        <w:i/>
        <w:color w:val="000000"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  <w:r>
      <w:rPr>
        <w:rFonts w:ascii="Arial" w:hAnsi="Arial" w:cs="Arial"/>
        <w:color w:val="000000"/>
        <w:sz w:val="18"/>
        <w:szCs w:val="18"/>
      </w:rPr>
    </w:r>
  </w:p>
  <w:p>
    <w:pPr>
      <w:pStyle w:val="para1"/>
      <w:ind w:left="1134"/>
      <w:tabs defTabSz="708">
        <w:tab w:val="clear" w:pos="4419" w:leader="none"/>
        <w:tab w:val="center" w:pos="4820" w:leader="none"/>
        <w:tab w:val="right" w:pos="8838" w:leader="none"/>
      </w:tabs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Lista numerada 2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Lista numerada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Lista numerada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Lista numerada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Lista numerada 6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Lista numerada 7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Lista numerada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Lista numerada 9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"/>
      <w:lvlJc w:val="left"/>
      <w:pPr>
        <w:ind w:left="720" w:hanging="0"/>
      </w:pPr>
      <w:rPr>
        <w:rFonts w:ascii="Wingdings" w:hAnsi="Wingdings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Lista numerada 10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Lista numerada 11"/>
    <w:lvl w:ilvl="0">
      <w:start w:val="1"/>
      <w:numFmt w:val="lowerLetter"/>
      <w:suff w:val="tab"/>
      <w:lvlText w:val="%1."/>
      <w:lvlJc w:val="left"/>
      <w:pPr>
        <w:ind w:left="120" w:hanging="0"/>
      </w:pPr>
    </w:lvl>
    <w:lvl w:ilvl="1">
      <w:start w:val="1"/>
      <w:numFmt w:val="lowerLetter"/>
      <w:suff w:val="tab"/>
      <w:lvlText w:val="%2."/>
      <w:lvlJc w:val="left"/>
      <w:pPr>
        <w:ind w:left="840" w:hanging="0"/>
      </w:pPr>
    </w:lvl>
    <w:lvl w:ilvl="2">
      <w:start w:val="1"/>
      <w:numFmt w:val="lowerRoman"/>
      <w:suff w:val="tab"/>
      <w:lvlText w:val="%3."/>
      <w:lvlJc w:val="left"/>
      <w:pPr>
        <w:ind w:left="1740" w:hanging="0"/>
      </w:pPr>
    </w:lvl>
    <w:lvl w:ilvl="3">
      <w:start w:val="1"/>
      <w:numFmt w:val="decimal"/>
      <w:suff w:val="tab"/>
      <w:lvlText w:val="%4."/>
      <w:lvlJc w:val="left"/>
      <w:pPr>
        <w:ind w:left="2280" w:hanging="0"/>
      </w:pPr>
    </w:lvl>
    <w:lvl w:ilvl="4">
      <w:start w:val="1"/>
      <w:numFmt w:val="lowerLetter"/>
      <w:suff w:val="tab"/>
      <w:lvlText w:val="%5."/>
      <w:lvlJc w:val="left"/>
      <w:pPr>
        <w:ind w:left="3000" w:hanging="0"/>
      </w:pPr>
    </w:lvl>
    <w:lvl w:ilvl="5">
      <w:start w:val="1"/>
      <w:numFmt w:val="lowerRoman"/>
      <w:suff w:val="tab"/>
      <w:lvlText w:val="%6."/>
      <w:lvlJc w:val="left"/>
      <w:pPr>
        <w:ind w:left="3900" w:hanging="0"/>
      </w:pPr>
    </w:lvl>
    <w:lvl w:ilvl="6">
      <w:start w:val="1"/>
      <w:numFmt w:val="decimal"/>
      <w:suff w:val="tab"/>
      <w:lvlText w:val="%7."/>
      <w:lvlJc w:val="left"/>
      <w:pPr>
        <w:ind w:left="4440" w:hanging="0"/>
      </w:pPr>
    </w:lvl>
    <w:lvl w:ilvl="7">
      <w:start w:val="1"/>
      <w:numFmt w:val="lowerLetter"/>
      <w:suff w:val="tab"/>
      <w:lvlText w:val="%8."/>
      <w:lvlJc w:val="left"/>
      <w:pPr>
        <w:ind w:left="5160" w:hanging="0"/>
      </w:pPr>
    </w:lvl>
    <w:lvl w:ilvl="8">
      <w:start w:val="1"/>
      <w:numFmt w:val="lowerRoman"/>
      <w:suff w:val="tab"/>
      <w:lvlText w:val="%9."/>
      <w:lvlJc w:val="left"/>
      <w:pPr>
        <w:ind w:left="6060" w:hanging="0"/>
      </w:pPr>
    </w:lvl>
  </w:abstractNum>
  <w:abstractNum w:abstractNumId="12">
    <w:multiLevelType w:val="hybridMultilevel"/>
    <w:name w:val="Lista numerada 12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Lista numerada 1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Lista numerada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5">
    <w:multiLevelType w:val="hybridMultilevel"/>
    <w:name w:val="Lista numerada 1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Lista numerada 16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7">
    <w:multiLevelType w:val="hybridMultilevel"/>
    <w:name w:val="Lista numerada 17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18">
    <w:multiLevelType w:val="hybridMultilevel"/>
    <w:name w:val="Lista numerada 18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19">
    <w:multiLevelType w:val="hybridMultilevel"/>
    <w:name w:val="Lista numerada 1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0">
    <w:multiLevelType w:val="hybridMultilevel"/>
    <w:name w:val="Lista numerada 2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1">
    <w:multiLevelType w:val="hybridMultilevel"/>
    <w:name w:val="Lista numerada 2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Lista numerada 22"/>
    <w:lvl w:ilvl="0">
      <w:numFmt w:val="bullet"/>
      <w:suff w:val="tab"/>
      <w:lvlText w:val="o"/>
      <w:lvlJc w:val="left"/>
      <w:pPr>
        <w:ind w:left="360" w:hanging="0"/>
      </w:pPr>
      <w:rPr>
        <w:rFonts w:ascii="Courier New" w:hAnsi="Courier New" w:cs="Courier New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3">
    <w:multiLevelType w:val="hybridMultilevel"/>
    <w:name w:val="Lista numerada 23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4">
    <w:multiLevelType w:val="hybridMultilevel"/>
    <w:name w:val="Lista numerada 2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5">
    <w:multiLevelType w:val="hybridMultilevel"/>
    <w:name w:val="Lista numerada 2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6">
    <w:multiLevelType w:val="hybridMultilevel"/>
    <w:name w:val="Lista numerada 2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7">
    <w:multiLevelType w:val="hybridMultilevel"/>
    <w:name w:val="Lista numerada 2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8">
    <w:multiLevelType w:val="hybridMultilevel"/>
    <w:name w:val="Lista numerada 2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9">
    <w:multiLevelType w:val="hybridMultilevel"/>
    <w:name w:val="Lista numerada 2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0">
    <w:multiLevelType w:val="hybridMultilevel"/>
    <w:name w:val="Lista numerada 3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1">
    <w:multiLevelType w:val="hybridMultilevel"/>
    <w:name w:val="Lista numerada 31"/>
    <w:lvl w:ilvl="0">
      <w:numFmt w:val="bullet"/>
      <w:suff w:val="tab"/>
      <w:lvlText w:val=""/>
      <w:lvlJc w:val="left"/>
      <w:pPr>
        <w:ind w:left="408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128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48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68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88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008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728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48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68" w:hanging="0"/>
      </w:pPr>
      <w:rPr>
        <w:rFonts w:ascii="Wingdings" w:hAnsi="Wingdings" w:eastAsia="Wingdings" w:cs="Wingdings"/>
      </w:rPr>
    </w:lvl>
  </w:abstractNum>
  <w:abstractNum w:abstractNumId="32">
    <w:multiLevelType w:val="hybridMultilevel"/>
    <w:name w:val="Lista numerada 35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 w:eastAsia="Symbol" w:cs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eastAsia="Courier New" w:cs="Courier New"/>
      </w:rPr>
    </w:lvl>
    <w:lvl w:ilvl="2">
      <w:numFmt w:val="bullet"/>
      <w:suff w:val="tab"/>
      <w:lvlText w:val="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 w:eastAsia="Symbol" w:cs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eastAsia="Courier New" w:cs="Courier New"/>
      </w:rPr>
    </w:lvl>
    <w:lvl w:ilvl="5">
      <w:numFmt w:val="bullet"/>
      <w:suff w:val="tab"/>
      <w:lvlText w:val="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 w:eastAsia="Symbol" w:cs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eastAsia="Courier New" w:cs="Courier New"/>
      </w:rPr>
    </w:lvl>
    <w:lvl w:ilvl="8">
      <w:numFmt w:val="bullet"/>
      <w:suff w:val="tab"/>
      <w:lvlText w:val="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3">
    <w:multiLevelType w:val="singleLevel"/>
    <w:name w:val="Bullet 33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"/>
    <w:tmLastPosSelect w:val="0"/>
    <w:tmLastPosFrameIdx w:val="0"/>
    <w:tmLastPosCaret>
      <w:tmLastPosPgfIdx w:val="96"/>
      <w:tmLastPosIdx w:val="57"/>
    </w:tmLastPosCaret>
    <w:tmLastPosAnchor>
      <w:tmLastPosPgfIdx w:val="0"/>
      <w:tmLastPosIdx w:val="0"/>
    </w:tmLastPosAnchor>
    <w:tmLastPosTblRect w:left="0" w:top="0" w:right="0" w:bottom="0"/>
  </w:tmLastPos>
  <w:tmAppRevision w:date="1656449580" w:val="1046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</w:rPr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419" w:leader="none"/>
        <w:tab w:val="right" w:pos="8838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419" w:leader="none"/>
        <w:tab w:val="right" w:pos="8838" w:leader="none"/>
      </w:tabs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>
    <w:name w:val="Title"/>
    <w:qFormat/>
    <w:basedOn w:val="para0"/>
    <w:pPr>
      <w:spacing w:after="0" w:line="240" w:lineRule="auto"/>
      <w:jc w:val="center"/>
      <w:tabs defTabSz="708">
        <w:tab w:val="left" w:pos="3119" w:leader="none"/>
      </w:tabs>
    </w:pPr>
    <w:rPr>
      <w:rFonts w:ascii="Times New Roman" w:hAnsi="Times New Roman" w:eastAsia="Times New Roman"/>
      <w:i/>
      <w:color w:val="800000"/>
      <w:sz w:val="18"/>
      <w:szCs w:val="20"/>
      <w:lang w:val="es-ES_tradnl" w:eastAsia="es-es"/>
    </w:rPr>
  </w:style>
  <w:style w:type="paragraph" w:styleId="para5">
    <w:name w:val="List Paragraph"/>
    <w:qFormat/>
    <w:basedOn w:val="para0"/>
    <w:pPr>
      <w:ind w:left="720"/>
      <w:contextualSpacing/>
    </w:pPr>
  </w:style>
  <w:style w:type="paragraph" w:styleId="para6">
    <w:name w:val="Footnote Text"/>
    <w:qFormat/>
    <w:basedOn w:val="para0"/>
    <w:pPr>
      <w:spacing w:after="0" w:line="240" w:lineRule="auto"/>
    </w:pPr>
    <w:rPr>
      <w:rFonts w:ascii="Times New Roman" w:hAnsi="Times New Roman" w:eastAsia="Times New Roman"/>
      <w:sz w:val="20"/>
      <w:szCs w:val="20"/>
      <w:lang w:val="es-es" w:eastAsia="es-es"/>
    </w:rPr>
  </w:style>
  <w:style w:type="paragraph" w:styleId="para7">
    <w:name w:val="Body Text"/>
    <w:qFormat/>
    <w:basedOn w:val="para0"/>
    <w:pPr>
      <w:spacing w:after="120" w:afterAutospacing="1" w:line="240" w:lineRule="auto"/>
    </w:pPr>
    <w:rPr>
      <w:rFonts w:cs="Calibri"/>
      <w:lang w:val="es-es"/>
    </w:rPr>
  </w:style>
  <w:style w:type="paragraph" w:styleId="para8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es-ar"/>
    </w:rPr>
  </w:style>
  <w:style w:type="paragraph" w:styleId="para9" w:customStyle="1">
    <w:name w:val="Default"/>
    <w:qFormat/>
    <w:pPr>
      <w:spacing w:after="0" w:line="240" w:lineRule="auto"/>
    </w:pPr>
    <w:rPr>
      <w:rFonts w:ascii="Arial" w:hAnsi="Arial" w:eastAsia="Calibri" w:cs="Arial"/>
      <w:color w:val="000000"/>
      <w:sz w:val="24"/>
      <w:szCs w:val="24"/>
      <w:lang w:val="es-ar" w:eastAsia="en-us" w:bidi="ar-sa"/>
    </w:rPr>
  </w:style>
  <w:style w:type="character" w:styleId="char0" w:default="1">
    <w:name w:val="Default Paragraph Font"/>
  </w:style>
  <w:style w:type="character" w:styleId="char1" w:customStyle="1">
    <w:name w:val="Encabezado Car"/>
    <w:basedOn w:val="char0"/>
  </w:style>
  <w:style w:type="character" w:styleId="char2" w:customStyle="1">
    <w:name w:val="Pie de página Car"/>
    <w:basedOn w:val="char0"/>
  </w:style>
  <w:style w:type="character" w:styleId="char3" w:customStyle="1">
    <w:name w:val="Texto de globo Car"/>
    <w:basedOn w:val="char0"/>
    <w:rPr>
      <w:rFonts w:ascii="Tahoma" w:hAnsi="Tahoma" w:cs="Tahoma"/>
      <w:sz w:val="16"/>
      <w:szCs w:val="16"/>
    </w:rPr>
  </w:style>
  <w:style w:type="character" w:styleId="char4" w:customStyle="1">
    <w:name w:val="Título Car"/>
    <w:basedOn w:val="char0"/>
    <w:rPr>
      <w:rFonts w:ascii="Times New Roman" w:hAnsi="Times New Roman" w:eastAsia="Times New Roman" w:cs="Times New Roman"/>
      <w:i/>
      <w:color w:val="800000"/>
      <w:sz w:val="18"/>
      <w:szCs w:val="20"/>
      <w:lang w:val="es-ES_tradnl" w:eastAsia="es-es"/>
    </w:rPr>
  </w:style>
  <w:style w:type="character" w:styleId="char5" w:customStyle="1">
    <w:name w:val="Texto nota pie Car"/>
    <w:basedOn w:val="char0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char6">
    <w:name w:val="Footnote Reference"/>
    <w:basedOn w:val="char0"/>
    <w:rPr>
      <w:vertAlign w:val="superscript"/>
    </w:rPr>
  </w:style>
  <w:style w:type="character" w:styleId="char7" w:customStyle="1">
    <w:name w:val="Texto independiente Car"/>
    <w:basedOn w:val="char0"/>
    <w:rPr>
      <w:lang w:val="es-es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</w:rPr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419" w:leader="none"/>
        <w:tab w:val="right" w:pos="8838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419" w:leader="none"/>
        <w:tab w:val="right" w:pos="8838" w:leader="none"/>
      </w:tabs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>
    <w:name w:val="Title"/>
    <w:qFormat/>
    <w:basedOn w:val="para0"/>
    <w:pPr>
      <w:spacing w:after="0" w:line="240" w:lineRule="auto"/>
      <w:jc w:val="center"/>
      <w:tabs defTabSz="708">
        <w:tab w:val="left" w:pos="3119" w:leader="none"/>
      </w:tabs>
    </w:pPr>
    <w:rPr>
      <w:rFonts w:ascii="Times New Roman" w:hAnsi="Times New Roman" w:eastAsia="Times New Roman"/>
      <w:i/>
      <w:color w:val="800000"/>
      <w:sz w:val="18"/>
      <w:szCs w:val="20"/>
      <w:lang w:val="es-ES_tradnl" w:eastAsia="es-es"/>
    </w:rPr>
  </w:style>
  <w:style w:type="paragraph" w:styleId="para5">
    <w:name w:val="List Paragraph"/>
    <w:qFormat/>
    <w:basedOn w:val="para0"/>
    <w:pPr>
      <w:ind w:left="720"/>
      <w:contextualSpacing/>
    </w:pPr>
  </w:style>
  <w:style w:type="paragraph" w:styleId="para6">
    <w:name w:val="Footnote Text"/>
    <w:qFormat/>
    <w:basedOn w:val="para0"/>
    <w:pPr>
      <w:spacing w:after="0" w:line="240" w:lineRule="auto"/>
    </w:pPr>
    <w:rPr>
      <w:rFonts w:ascii="Times New Roman" w:hAnsi="Times New Roman" w:eastAsia="Times New Roman"/>
      <w:sz w:val="20"/>
      <w:szCs w:val="20"/>
      <w:lang w:val="es-es" w:eastAsia="es-es"/>
    </w:rPr>
  </w:style>
  <w:style w:type="paragraph" w:styleId="para7">
    <w:name w:val="Body Text"/>
    <w:qFormat/>
    <w:basedOn w:val="para0"/>
    <w:pPr>
      <w:spacing w:after="120" w:afterAutospacing="1" w:line="240" w:lineRule="auto"/>
    </w:pPr>
    <w:rPr>
      <w:rFonts w:cs="Calibri"/>
      <w:lang w:val="es-es"/>
    </w:rPr>
  </w:style>
  <w:style w:type="paragraph" w:styleId="para8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es-ar"/>
    </w:rPr>
  </w:style>
  <w:style w:type="paragraph" w:styleId="para9" w:customStyle="1">
    <w:name w:val="Default"/>
    <w:qFormat/>
    <w:pPr>
      <w:spacing w:after="0" w:line="240" w:lineRule="auto"/>
    </w:pPr>
    <w:rPr>
      <w:rFonts w:ascii="Arial" w:hAnsi="Arial" w:eastAsia="Calibri" w:cs="Arial"/>
      <w:color w:val="000000"/>
      <w:sz w:val="24"/>
      <w:szCs w:val="24"/>
      <w:lang w:val="es-ar" w:eastAsia="en-us" w:bidi="ar-sa"/>
    </w:rPr>
  </w:style>
  <w:style w:type="character" w:styleId="char0" w:default="1">
    <w:name w:val="Default Paragraph Font"/>
  </w:style>
  <w:style w:type="character" w:styleId="char1" w:customStyle="1">
    <w:name w:val="Encabezado Car"/>
    <w:basedOn w:val="char0"/>
  </w:style>
  <w:style w:type="character" w:styleId="char2" w:customStyle="1">
    <w:name w:val="Pie de página Car"/>
    <w:basedOn w:val="char0"/>
  </w:style>
  <w:style w:type="character" w:styleId="char3" w:customStyle="1">
    <w:name w:val="Texto de globo Car"/>
    <w:basedOn w:val="char0"/>
    <w:rPr>
      <w:rFonts w:ascii="Tahoma" w:hAnsi="Tahoma" w:cs="Tahoma"/>
      <w:sz w:val="16"/>
      <w:szCs w:val="16"/>
    </w:rPr>
  </w:style>
  <w:style w:type="character" w:styleId="char4" w:customStyle="1">
    <w:name w:val="Título Car"/>
    <w:basedOn w:val="char0"/>
    <w:rPr>
      <w:rFonts w:ascii="Times New Roman" w:hAnsi="Times New Roman" w:eastAsia="Times New Roman" w:cs="Times New Roman"/>
      <w:i/>
      <w:color w:val="800000"/>
      <w:sz w:val="18"/>
      <w:szCs w:val="20"/>
      <w:lang w:val="es-ES_tradnl" w:eastAsia="es-es"/>
    </w:rPr>
  </w:style>
  <w:style w:type="character" w:styleId="char5" w:customStyle="1">
    <w:name w:val="Texto nota pie Car"/>
    <w:basedOn w:val="char0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char6">
    <w:name w:val="Footnote Reference"/>
    <w:basedOn w:val="char0"/>
    <w:rPr>
      <w:vertAlign w:val="superscript"/>
    </w:rPr>
  </w:style>
  <w:style w:type="character" w:styleId="char7" w:customStyle="1">
    <w:name w:val="Texto independiente Car"/>
    <w:basedOn w:val="char0"/>
    <w:rPr>
      <w:lang w:val="es-es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/>
  <cp:revision>16</cp:revision>
  <cp:lastPrinted>2019-12-03T20:16:00Z</cp:lastPrinted>
  <dcterms:created xsi:type="dcterms:W3CDTF">2021-05-11T12:11:00Z</dcterms:created>
  <dcterms:modified xsi:type="dcterms:W3CDTF">2022-06-28T20:53:00Z</dcterms:modified>
</cp:coreProperties>
</file>